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AD78" w14:textId="77777777" w:rsidR="00302CCE" w:rsidRPr="00302CCE" w:rsidRDefault="00302CCE" w:rsidP="00302CCE">
      <w:pPr>
        <w:rPr>
          <w:rFonts w:asciiTheme="majorHAnsi" w:hAnsiTheme="majorHAnsi" w:cstheme="majorHAnsi"/>
          <w:b/>
          <w:bCs/>
        </w:rPr>
      </w:pPr>
      <w:r w:rsidRPr="00302CCE">
        <w:rPr>
          <w:rFonts w:asciiTheme="majorHAnsi" w:hAnsiTheme="majorHAnsi" w:cstheme="majorHAnsi"/>
          <w:b/>
          <w:bCs/>
        </w:rPr>
        <w:t>Overall Goal:</w:t>
      </w:r>
    </w:p>
    <w:p w14:paraId="62AAB466" w14:textId="617C7E43" w:rsidR="00302CCE" w:rsidRPr="00302CCE" w:rsidRDefault="00302CCE" w:rsidP="00302CCE">
      <w:pPr>
        <w:rPr>
          <w:rFonts w:asciiTheme="majorHAnsi" w:hAnsiTheme="majorHAnsi" w:cstheme="majorHAnsi"/>
        </w:rPr>
      </w:pPr>
      <w:r w:rsidRPr="00302CCE">
        <w:rPr>
          <w:rFonts w:asciiTheme="majorHAnsi" w:hAnsiTheme="majorHAnsi" w:cstheme="majorHAnsi"/>
        </w:rPr>
        <w:t>Students will be able to interpret situations involving linear relationships with an equation, graph, table, or rule in words.</w:t>
      </w:r>
    </w:p>
    <w:p w14:paraId="49D788C4" w14:textId="77777777" w:rsidR="00302CCE" w:rsidRPr="00302CCE" w:rsidRDefault="00302CCE" w:rsidP="00B64CE1">
      <w:pPr>
        <w:spacing w:before="120"/>
        <w:rPr>
          <w:rFonts w:asciiTheme="majorHAnsi" w:hAnsiTheme="majorHAnsi" w:cstheme="majorHAnsi"/>
          <w:b/>
          <w:bCs/>
        </w:rPr>
      </w:pPr>
      <w:r w:rsidRPr="00302CCE">
        <w:rPr>
          <w:rFonts w:asciiTheme="majorHAnsi" w:hAnsiTheme="majorHAnsi" w:cstheme="majorHAnsi"/>
          <w:b/>
          <w:bCs/>
        </w:rPr>
        <w:t>Common Themes:</w:t>
      </w:r>
    </w:p>
    <w:p w14:paraId="6CA6ADA1" w14:textId="77777777" w:rsidR="00302CCE" w:rsidRPr="00302CCE" w:rsidRDefault="00302CCE" w:rsidP="00302CCE">
      <w:pPr>
        <w:numPr>
          <w:ilvl w:val="0"/>
          <w:numId w:val="1"/>
        </w:numPr>
        <w:spacing w:line="262" w:lineRule="auto"/>
        <w:rPr>
          <w:rFonts w:asciiTheme="majorHAnsi" w:hAnsiTheme="majorHAnsi" w:cstheme="majorHAnsi"/>
        </w:rPr>
      </w:pPr>
      <w:r w:rsidRPr="00302CCE">
        <w:rPr>
          <w:rFonts w:asciiTheme="majorHAnsi" w:hAnsiTheme="majorHAnsi" w:cstheme="majorHAnsi"/>
        </w:rPr>
        <w:t>Proportional reasoning runs throughout the linear function progression.</w:t>
      </w:r>
    </w:p>
    <w:p w14:paraId="515FDEF1" w14:textId="77777777" w:rsidR="00302CCE" w:rsidRPr="00302CCE" w:rsidRDefault="00302CCE" w:rsidP="00302CCE">
      <w:pPr>
        <w:numPr>
          <w:ilvl w:val="0"/>
          <w:numId w:val="1"/>
        </w:numPr>
        <w:spacing w:line="262" w:lineRule="auto"/>
        <w:rPr>
          <w:rFonts w:asciiTheme="majorHAnsi" w:hAnsiTheme="majorHAnsi" w:cstheme="majorHAnsi"/>
        </w:rPr>
      </w:pPr>
      <w:r w:rsidRPr="00302CCE">
        <w:rPr>
          <w:rFonts w:asciiTheme="majorHAnsi" w:hAnsiTheme="majorHAnsi" w:cstheme="majorHAnsi"/>
        </w:rPr>
        <w:t>Linear relationships develop from an understanding of rates, ratios, and proportions across a variety of real-world applications, including geometry and measurement.</w:t>
      </w:r>
    </w:p>
    <w:p w14:paraId="65F89B4A" w14:textId="77777777" w:rsidR="00302CCE" w:rsidRPr="00302CCE" w:rsidRDefault="00302CCE" w:rsidP="00302CCE">
      <w:pPr>
        <w:numPr>
          <w:ilvl w:val="0"/>
          <w:numId w:val="1"/>
        </w:numPr>
        <w:spacing w:line="262" w:lineRule="auto"/>
        <w:rPr>
          <w:rFonts w:asciiTheme="majorHAnsi" w:hAnsiTheme="majorHAnsi" w:cstheme="majorHAnsi"/>
        </w:rPr>
      </w:pPr>
      <w:r w:rsidRPr="00302CCE">
        <w:rPr>
          <w:rFonts w:asciiTheme="majorHAnsi" w:hAnsiTheme="majorHAnsi" w:cstheme="majorHAnsi"/>
        </w:rPr>
        <w:t xml:space="preserve">Building in-out tables and looking for patterns within them presents students with a powerful tool for making connections between important topics including proportional reasoning, number lines, patterns, and integers. </w:t>
      </w:r>
    </w:p>
    <w:p w14:paraId="6A280B19" w14:textId="77777777" w:rsidR="00B64CE1" w:rsidRPr="00B64CE1" w:rsidRDefault="00B64CE1" w:rsidP="00B64CE1">
      <w:pPr>
        <w:spacing w:before="120"/>
        <w:rPr>
          <w:rFonts w:asciiTheme="majorHAnsi" w:hAnsiTheme="majorHAnsi" w:cstheme="majorHAnsi"/>
          <w:b/>
          <w:bCs/>
        </w:rPr>
      </w:pPr>
      <w:r w:rsidRPr="00B64CE1">
        <w:rPr>
          <w:rFonts w:asciiTheme="majorHAnsi" w:hAnsiTheme="majorHAnsi" w:cstheme="majorHAnsi"/>
          <w:b/>
          <w:bCs/>
        </w:rPr>
        <w:t>Progression Summary:</w:t>
      </w:r>
    </w:p>
    <w:p w14:paraId="71959F3B" w14:textId="4C712093" w:rsidR="00CA7D21" w:rsidRDefault="00B64CE1" w:rsidP="009218CE">
      <w:pPr>
        <w:spacing w:after="120"/>
        <w:ind w:left="-90"/>
        <w:rPr>
          <w:rFonts w:asciiTheme="majorHAnsi" w:hAnsiTheme="majorHAnsi" w:cstheme="majorHAnsi"/>
          <w:bCs/>
        </w:rPr>
      </w:pPr>
      <w:r>
        <w:rPr>
          <w:rFonts w:asciiTheme="majorHAnsi" w:hAnsiTheme="majorHAnsi" w:cstheme="majorHAnsi"/>
          <w:noProof/>
        </w:rPr>
        <w:drawing>
          <wp:inline distT="0" distB="0" distL="0" distR="0" wp14:anchorId="2AFB7927" wp14:editId="1737646F">
            <wp:extent cx="6492240" cy="1113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t="33048" b="33048"/>
                    <a:stretch>
                      <a:fillRect/>
                    </a:stretch>
                  </pic:blipFill>
                  <pic:spPr bwMode="auto">
                    <a:xfrm>
                      <a:off x="0" y="0"/>
                      <a:ext cx="6492240" cy="111396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Y="1"/>
        <w:tblOverlap w:val="never"/>
        <w:tblW w:w="10255" w:type="dxa"/>
        <w:tblLook w:val="04A0" w:firstRow="1" w:lastRow="0" w:firstColumn="1" w:lastColumn="0" w:noHBand="0" w:noVBand="1"/>
      </w:tblPr>
      <w:tblGrid>
        <w:gridCol w:w="5755"/>
        <w:gridCol w:w="4500"/>
      </w:tblGrid>
      <w:tr w:rsidR="00DE6F42" w14:paraId="0882D2BD" w14:textId="77777777" w:rsidTr="00A30039">
        <w:trPr>
          <w:trHeight w:val="576"/>
        </w:trPr>
        <w:tc>
          <w:tcPr>
            <w:tcW w:w="5755" w:type="dxa"/>
            <w:shd w:val="clear" w:color="auto" w:fill="FDE9D9" w:themeFill="accent6" w:themeFillTint="33"/>
            <w:vAlign w:val="center"/>
          </w:tcPr>
          <w:p w14:paraId="3F73F2BA" w14:textId="32BB04C6" w:rsidR="00DE6F42" w:rsidRPr="00663555" w:rsidRDefault="00DE6F42" w:rsidP="003F2484">
            <w:pPr>
              <w:spacing w:before="120" w:after="120" w:line="276" w:lineRule="auto"/>
              <w:rPr>
                <w:rFonts w:asciiTheme="majorHAnsi" w:hAnsiTheme="majorHAnsi" w:cstheme="majorHAnsi"/>
                <w:b/>
                <w:bCs/>
              </w:rPr>
            </w:pPr>
            <w:r w:rsidRPr="00663555">
              <w:rPr>
                <w:rFonts w:asciiTheme="majorHAnsi" w:hAnsiTheme="majorHAnsi" w:cstheme="majorHAnsi"/>
                <w:b/>
                <w:bCs/>
              </w:rPr>
              <w:t>Unit / Lesson / Context</w:t>
            </w:r>
          </w:p>
        </w:tc>
        <w:tc>
          <w:tcPr>
            <w:tcW w:w="4500" w:type="dxa"/>
            <w:shd w:val="clear" w:color="auto" w:fill="FDE9D9" w:themeFill="accent6" w:themeFillTint="33"/>
            <w:vAlign w:val="center"/>
          </w:tcPr>
          <w:p w14:paraId="25109723" w14:textId="14093803" w:rsidR="00DE6F42" w:rsidRPr="00663555" w:rsidRDefault="00DE6F42" w:rsidP="003F2484">
            <w:pPr>
              <w:spacing w:before="120" w:after="120" w:line="276" w:lineRule="auto"/>
              <w:rPr>
                <w:rFonts w:asciiTheme="majorHAnsi" w:hAnsiTheme="majorHAnsi" w:cstheme="majorHAnsi"/>
                <w:b/>
                <w:bCs/>
              </w:rPr>
            </w:pPr>
            <w:r>
              <w:rPr>
                <w:rFonts w:asciiTheme="majorHAnsi" w:hAnsiTheme="majorHAnsi" w:cstheme="majorHAnsi"/>
                <w:b/>
                <w:bCs/>
              </w:rPr>
              <w:t>Notes</w:t>
            </w:r>
          </w:p>
        </w:tc>
      </w:tr>
      <w:tr w:rsidR="00DE6F42" w14:paraId="0537E5D6" w14:textId="77777777" w:rsidTr="00A30039">
        <w:trPr>
          <w:trHeight w:val="576"/>
        </w:trPr>
        <w:tc>
          <w:tcPr>
            <w:tcW w:w="5755" w:type="dxa"/>
            <w:vAlign w:val="center"/>
          </w:tcPr>
          <w:p w14:paraId="02EE7142" w14:textId="15E43B63" w:rsidR="00DE6F42" w:rsidRDefault="00DE6F42" w:rsidP="003F2484">
            <w:pPr>
              <w:spacing w:before="120" w:after="120" w:line="276" w:lineRule="auto"/>
              <w:rPr>
                <w:rFonts w:asciiTheme="majorHAnsi" w:hAnsiTheme="majorHAnsi" w:cstheme="majorHAnsi"/>
              </w:rPr>
            </w:pPr>
            <w:r w:rsidRPr="00714A76">
              <w:rPr>
                <w:rFonts w:asciiTheme="majorHAnsi" w:hAnsiTheme="majorHAnsi" w:cstheme="majorHAnsi"/>
                <w:bCs/>
              </w:rPr>
              <w:t>U1.L2 (area model for multiplication)</w:t>
            </w:r>
          </w:p>
        </w:tc>
        <w:tc>
          <w:tcPr>
            <w:tcW w:w="4500" w:type="dxa"/>
            <w:vAlign w:val="center"/>
          </w:tcPr>
          <w:p w14:paraId="23015573" w14:textId="37A3AE1C" w:rsidR="00DE6F42" w:rsidRDefault="00DE6F42" w:rsidP="003F2484">
            <w:pPr>
              <w:spacing w:before="120" w:after="120" w:line="276" w:lineRule="auto"/>
              <w:rPr>
                <w:rFonts w:asciiTheme="majorHAnsi" w:hAnsiTheme="majorHAnsi" w:cstheme="majorHAnsi"/>
              </w:rPr>
            </w:pPr>
          </w:p>
        </w:tc>
      </w:tr>
      <w:tr w:rsidR="00DE6F42" w14:paraId="7C9B3AF2" w14:textId="77777777" w:rsidTr="00A30039">
        <w:trPr>
          <w:trHeight w:val="576"/>
        </w:trPr>
        <w:tc>
          <w:tcPr>
            <w:tcW w:w="5755" w:type="dxa"/>
            <w:vAlign w:val="center"/>
          </w:tcPr>
          <w:p w14:paraId="581D2D6B" w14:textId="52447ADC" w:rsidR="00DE6F42" w:rsidRDefault="00DE6F42" w:rsidP="003F2484">
            <w:pPr>
              <w:spacing w:before="120" w:after="120" w:line="276" w:lineRule="auto"/>
              <w:rPr>
                <w:rFonts w:asciiTheme="majorHAnsi" w:hAnsiTheme="majorHAnsi" w:cstheme="majorHAnsi"/>
              </w:rPr>
            </w:pPr>
            <w:r w:rsidRPr="00714A76">
              <w:rPr>
                <w:rFonts w:asciiTheme="majorHAnsi" w:hAnsiTheme="majorHAnsi" w:cstheme="majorHAnsi"/>
                <w:bCs/>
              </w:rPr>
              <w:t>U1.L3 (area with formulas)</w:t>
            </w:r>
          </w:p>
        </w:tc>
        <w:tc>
          <w:tcPr>
            <w:tcW w:w="4500" w:type="dxa"/>
            <w:vAlign w:val="center"/>
          </w:tcPr>
          <w:p w14:paraId="2F30C250" w14:textId="1D5B4755" w:rsidR="00DE6F42" w:rsidRDefault="00DE6F42" w:rsidP="003F2484">
            <w:pPr>
              <w:spacing w:before="120" w:after="120" w:line="276" w:lineRule="auto"/>
              <w:rPr>
                <w:rFonts w:asciiTheme="majorHAnsi" w:hAnsiTheme="majorHAnsi" w:cstheme="majorHAnsi"/>
              </w:rPr>
            </w:pPr>
          </w:p>
        </w:tc>
      </w:tr>
      <w:tr w:rsidR="00B63AEF" w14:paraId="727A26AE" w14:textId="77777777" w:rsidTr="00A30039">
        <w:trPr>
          <w:trHeight w:val="576"/>
        </w:trPr>
        <w:tc>
          <w:tcPr>
            <w:tcW w:w="5755" w:type="dxa"/>
            <w:vAlign w:val="center"/>
          </w:tcPr>
          <w:p w14:paraId="0AFA3685" w14:textId="773AC1D5" w:rsidR="00B63AEF" w:rsidRPr="00714A76" w:rsidRDefault="00B63AEF" w:rsidP="003F2484">
            <w:pPr>
              <w:spacing w:before="120" w:after="120"/>
              <w:rPr>
                <w:rFonts w:asciiTheme="majorHAnsi" w:hAnsiTheme="majorHAnsi" w:cstheme="majorHAnsi"/>
                <w:bCs/>
              </w:rPr>
            </w:pPr>
            <w:r>
              <w:rPr>
                <w:rFonts w:asciiTheme="majorHAnsi" w:hAnsiTheme="majorHAnsi" w:cstheme="majorHAnsi"/>
                <w:bCs/>
              </w:rPr>
              <w:t>U1.L4 (</w:t>
            </w:r>
            <w:r w:rsidRPr="00714A76">
              <w:rPr>
                <w:rFonts w:asciiTheme="majorHAnsi" w:hAnsiTheme="majorHAnsi" w:cstheme="majorHAnsi"/>
                <w:bCs/>
              </w:rPr>
              <w:t>perimeter</w:t>
            </w:r>
            <w:r>
              <w:rPr>
                <w:rFonts w:asciiTheme="majorHAnsi" w:hAnsiTheme="majorHAnsi" w:cstheme="majorHAnsi"/>
                <w:bCs/>
              </w:rPr>
              <w:t xml:space="preserve"> with formulas)</w:t>
            </w:r>
          </w:p>
        </w:tc>
        <w:tc>
          <w:tcPr>
            <w:tcW w:w="4500" w:type="dxa"/>
            <w:vAlign w:val="center"/>
          </w:tcPr>
          <w:p w14:paraId="3C0A4EB4" w14:textId="77777777" w:rsidR="00B63AEF" w:rsidRDefault="00B63AEF" w:rsidP="003F2484">
            <w:pPr>
              <w:spacing w:before="120" w:after="120"/>
              <w:rPr>
                <w:rFonts w:asciiTheme="majorHAnsi" w:hAnsiTheme="majorHAnsi" w:cstheme="majorHAnsi"/>
              </w:rPr>
            </w:pPr>
          </w:p>
        </w:tc>
      </w:tr>
      <w:tr w:rsidR="00B63AEF" w14:paraId="40AA5562" w14:textId="77777777" w:rsidTr="00A30039">
        <w:trPr>
          <w:trHeight w:val="576"/>
        </w:trPr>
        <w:tc>
          <w:tcPr>
            <w:tcW w:w="5755" w:type="dxa"/>
            <w:vAlign w:val="center"/>
          </w:tcPr>
          <w:p w14:paraId="17A5C59C" w14:textId="3EE96530" w:rsidR="00B63AEF" w:rsidRDefault="00B63AEF" w:rsidP="003F2484">
            <w:pPr>
              <w:spacing w:before="120" w:after="120"/>
              <w:rPr>
                <w:rFonts w:asciiTheme="majorHAnsi" w:hAnsiTheme="majorHAnsi" w:cstheme="majorHAnsi"/>
                <w:bCs/>
              </w:rPr>
            </w:pPr>
            <w:r>
              <w:rPr>
                <w:rFonts w:asciiTheme="majorHAnsi" w:hAnsiTheme="majorHAnsi" w:cstheme="majorHAnsi"/>
                <w:bCs/>
              </w:rPr>
              <w:t xml:space="preserve">U1.L5 </w:t>
            </w:r>
            <w:r w:rsidR="005B6E57" w:rsidRPr="00714A76">
              <w:rPr>
                <w:rFonts w:asciiTheme="majorHAnsi" w:hAnsiTheme="majorHAnsi" w:cstheme="majorHAnsi"/>
                <w:bCs/>
              </w:rPr>
              <w:t xml:space="preserve">(scale drawings, </w:t>
            </w:r>
            <w:r w:rsidR="005B6E57" w:rsidRPr="00714A76">
              <w:rPr>
                <w:rFonts w:asciiTheme="majorHAnsi" w:hAnsiTheme="majorHAnsi" w:cstheme="majorHAnsi"/>
                <w:color w:val="000000"/>
              </w:rPr>
              <w:t>tables, straight line graphs</w:t>
            </w:r>
            <w:r w:rsidR="005B6E57" w:rsidRPr="00714A76">
              <w:rPr>
                <w:rFonts w:asciiTheme="majorHAnsi" w:hAnsiTheme="majorHAnsi" w:cstheme="majorHAnsi"/>
                <w:bCs/>
              </w:rPr>
              <w:t>)</w:t>
            </w:r>
          </w:p>
        </w:tc>
        <w:tc>
          <w:tcPr>
            <w:tcW w:w="4500" w:type="dxa"/>
            <w:vAlign w:val="center"/>
          </w:tcPr>
          <w:p w14:paraId="4D9AA49F" w14:textId="77777777" w:rsidR="00B63AEF" w:rsidRDefault="00B63AEF" w:rsidP="003F2484">
            <w:pPr>
              <w:spacing w:before="120" w:after="120"/>
              <w:rPr>
                <w:rFonts w:asciiTheme="majorHAnsi" w:hAnsiTheme="majorHAnsi" w:cstheme="majorHAnsi"/>
              </w:rPr>
            </w:pPr>
          </w:p>
        </w:tc>
      </w:tr>
      <w:tr w:rsidR="00B63AEF" w14:paraId="24D068F9" w14:textId="77777777" w:rsidTr="00A30039">
        <w:trPr>
          <w:trHeight w:val="576"/>
        </w:trPr>
        <w:tc>
          <w:tcPr>
            <w:tcW w:w="5755" w:type="dxa"/>
            <w:vAlign w:val="center"/>
          </w:tcPr>
          <w:p w14:paraId="7935D28F" w14:textId="26CD86E0" w:rsidR="00B63AEF" w:rsidRDefault="00B63AEF" w:rsidP="003F2484">
            <w:pPr>
              <w:spacing w:before="120" w:after="120"/>
              <w:rPr>
                <w:rFonts w:asciiTheme="majorHAnsi" w:hAnsiTheme="majorHAnsi" w:cstheme="majorHAnsi"/>
                <w:bCs/>
              </w:rPr>
            </w:pPr>
            <w:r w:rsidRPr="00714A76">
              <w:rPr>
                <w:rFonts w:asciiTheme="majorHAnsi" w:hAnsiTheme="majorHAnsi" w:cstheme="majorHAnsi"/>
                <w:bCs/>
              </w:rPr>
              <w:t>U1.L</w:t>
            </w:r>
            <w:r>
              <w:rPr>
                <w:rFonts w:asciiTheme="majorHAnsi" w:hAnsiTheme="majorHAnsi" w:cstheme="majorHAnsi"/>
                <w:bCs/>
              </w:rPr>
              <w:t>6</w:t>
            </w:r>
            <w:r w:rsidRPr="00714A76">
              <w:rPr>
                <w:rFonts w:asciiTheme="majorHAnsi" w:hAnsiTheme="majorHAnsi" w:cstheme="majorHAnsi"/>
                <w:bCs/>
              </w:rPr>
              <w:t xml:space="preserve"> (</w:t>
            </w:r>
            <w:r w:rsidRPr="00714A76">
              <w:rPr>
                <w:rFonts w:asciiTheme="majorHAnsi" w:hAnsiTheme="majorHAnsi" w:cstheme="majorHAnsi"/>
                <w:color w:val="000000"/>
              </w:rPr>
              <w:t>variables, equations, proportional reasoning, patterns</w:t>
            </w:r>
            <w:r w:rsidRPr="00714A76">
              <w:rPr>
                <w:rFonts w:asciiTheme="majorHAnsi" w:hAnsiTheme="majorHAnsi" w:cstheme="majorHAnsi"/>
                <w:bCs/>
              </w:rPr>
              <w:t>)</w:t>
            </w:r>
          </w:p>
        </w:tc>
        <w:tc>
          <w:tcPr>
            <w:tcW w:w="4500" w:type="dxa"/>
            <w:vAlign w:val="center"/>
          </w:tcPr>
          <w:p w14:paraId="20DBA187" w14:textId="77777777" w:rsidR="00B63AEF" w:rsidRDefault="00B63AEF" w:rsidP="003F2484">
            <w:pPr>
              <w:spacing w:before="120" w:after="120"/>
              <w:rPr>
                <w:rFonts w:asciiTheme="majorHAnsi" w:hAnsiTheme="majorHAnsi" w:cstheme="majorHAnsi"/>
              </w:rPr>
            </w:pPr>
          </w:p>
        </w:tc>
      </w:tr>
      <w:tr w:rsidR="00B63AEF" w14:paraId="4BF2754A" w14:textId="77777777" w:rsidTr="00A30039">
        <w:trPr>
          <w:trHeight w:val="576"/>
        </w:trPr>
        <w:tc>
          <w:tcPr>
            <w:tcW w:w="5755" w:type="dxa"/>
            <w:vAlign w:val="center"/>
          </w:tcPr>
          <w:p w14:paraId="181A47BA" w14:textId="3ED4AF7E" w:rsidR="00B63AEF" w:rsidRDefault="005B6E57" w:rsidP="003F2484">
            <w:pPr>
              <w:spacing w:before="120" w:after="120"/>
              <w:rPr>
                <w:rFonts w:asciiTheme="majorHAnsi" w:hAnsiTheme="majorHAnsi" w:cstheme="majorHAnsi"/>
                <w:bCs/>
              </w:rPr>
            </w:pPr>
            <w:proofErr w:type="gramStart"/>
            <w:r w:rsidRPr="00714A76">
              <w:rPr>
                <w:rFonts w:asciiTheme="majorHAnsi" w:hAnsiTheme="majorHAnsi" w:cstheme="majorHAnsi"/>
                <w:bCs/>
              </w:rPr>
              <w:t>U2.L</w:t>
            </w:r>
            <w:proofErr w:type="gramEnd"/>
            <w:r>
              <w:rPr>
                <w:rFonts w:asciiTheme="majorHAnsi" w:hAnsiTheme="majorHAnsi" w:cstheme="majorHAnsi"/>
                <w:bCs/>
              </w:rPr>
              <w:t>1</w:t>
            </w:r>
            <w:r w:rsidRPr="00714A76">
              <w:rPr>
                <w:rFonts w:asciiTheme="majorHAnsi" w:hAnsiTheme="majorHAnsi" w:cstheme="majorHAnsi"/>
                <w:bCs/>
              </w:rPr>
              <w:t xml:space="preserve"> (ratios and proportions)</w:t>
            </w:r>
          </w:p>
        </w:tc>
        <w:tc>
          <w:tcPr>
            <w:tcW w:w="4500" w:type="dxa"/>
            <w:vAlign w:val="center"/>
          </w:tcPr>
          <w:p w14:paraId="433E6697" w14:textId="77777777" w:rsidR="00B63AEF" w:rsidRDefault="00B63AEF" w:rsidP="003F2484">
            <w:pPr>
              <w:spacing w:before="120" w:after="120"/>
              <w:rPr>
                <w:rFonts w:asciiTheme="majorHAnsi" w:hAnsiTheme="majorHAnsi" w:cstheme="majorHAnsi"/>
              </w:rPr>
            </w:pPr>
          </w:p>
        </w:tc>
      </w:tr>
      <w:tr w:rsidR="00DE6F42" w14:paraId="4C9D88EB" w14:textId="77777777" w:rsidTr="00A30039">
        <w:trPr>
          <w:trHeight w:val="576"/>
        </w:trPr>
        <w:tc>
          <w:tcPr>
            <w:tcW w:w="5755" w:type="dxa"/>
            <w:vAlign w:val="center"/>
          </w:tcPr>
          <w:p w14:paraId="7F436B5A" w14:textId="0039CA30" w:rsidR="00DE6F42" w:rsidRDefault="000114A4" w:rsidP="003F2484">
            <w:pPr>
              <w:spacing w:before="120" w:after="120" w:line="276" w:lineRule="auto"/>
              <w:rPr>
                <w:rFonts w:asciiTheme="majorHAnsi" w:hAnsiTheme="majorHAnsi" w:cstheme="majorHAnsi"/>
              </w:rPr>
            </w:pPr>
            <w:proofErr w:type="gramStart"/>
            <w:r>
              <w:rPr>
                <w:rFonts w:asciiTheme="majorHAnsi" w:hAnsiTheme="majorHAnsi" w:cstheme="majorHAnsi"/>
              </w:rPr>
              <w:t>U2.L</w:t>
            </w:r>
            <w:proofErr w:type="gramEnd"/>
            <w:r>
              <w:rPr>
                <w:rFonts w:asciiTheme="majorHAnsi" w:hAnsiTheme="majorHAnsi" w:cstheme="majorHAnsi"/>
              </w:rPr>
              <w:t>2 (proportional reasoning)</w:t>
            </w:r>
          </w:p>
        </w:tc>
        <w:tc>
          <w:tcPr>
            <w:tcW w:w="4500" w:type="dxa"/>
            <w:vAlign w:val="center"/>
          </w:tcPr>
          <w:p w14:paraId="12D33B7B" w14:textId="51CC5594" w:rsidR="00DE6F42" w:rsidRDefault="00DE6F42" w:rsidP="003F2484">
            <w:pPr>
              <w:spacing w:before="120" w:after="120" w:line="276" w:lineRule="auto"/>
              <w:rPr>
                <w:rFonts w:asciiTheme="majorHAnsi" w:hAnsiTheme="majorHAnsi" w:cstheme="majorHAnsi"/>
              </w:rPr>
            </w:pPr>
          </w:p>
        </w:tc>
      </w:tr>
      <w:tr w:rsidR="00DE6F42" w14:paraId="6089F442" w14:textId="77777777" w:rsidTr="00A30039">
        <w:trPr>
          <w:trHeight w:val="576"/>
        </w:trPr>
        <w:tc>
          <w:tcPr>
            <w:tcW w:w="5755" w:type="dxa"/>
            <w:vAlign w:val="center"/>
          </w:tcPr>
          <w:p w14:paraId="0A0C4B19" w14:textId="7D7F75B0" w:rsidR="00DE6F42" w:rsidRDefault="000114A4" w:rsidP="003F2484">
            <w:pPr>
              <w:spacing w:before="120" w:after="120" w:line="276" w:lineRule="auto"/>
              <w:rPr>
                <w:rFonts w:asciiTheme="majorHAnsi" w:hAnsiTheme="majorHAnsi" w:cstheme="majorHAnsi"/>
              </w:rPr>
            </w:pPr>
            <w:r w:rsidRPr="00714A76">
              <w:rPr>
                <w:rFonts w:asciiTheme="majorHAnsi" w:hAnsiTheme="majorHAnsi" w:cstheme="majorHAnsi"/>
                <w:bCs/>
              </w:rPr>
              <w:t>U7.L3 (integers)</w:t>
            </w:r>
          </w:p>
        </w:tc>
        <w:tc>
          <w:tcPr>
            <w:tcW w:w="4500" w:type="dxa"/>
            <w:vAlign w:val="center"/>
          </w:tcPr>
          <w:p w14:paraId="78C2B440" w14:textId="26FBF678" w:rsidR="00DE6F42" w:rsidRDefault="00DE6F42" w:rsidP="003F2484">
            <w:pPr>
              <w:spacing w:before="120" w:after="120" w:line="276" w:lineRule="auto"/>
              <w:rPr>
                <w:rFonts w:asciiTheme="majorHAnsi" w:hAnsiTheme="majorHAnsi" w:cstheme="majorHAnsi"/>
              </w:rPr>
            </w:pPr>
          </w:p>
        </w:tc>
      </w:tr>
      <w:tr w:rsidR="00DE6F42" w14:paraId="346143B3" w14:textId="77777777" w:rsidTr="00A30039">
        <w:trPr>
          <w:trHeight w:val="576"/>
        </w:trPr>
        <w:tc>
          <w:tcPr>
            <w:tcW w:w="5755" w:type="dxa"/>
            <w:vAlign w:val="center"/>
          </w:tcPr>
          <w:p w14:paraId="0E8B8B26" w14:textId="2E1B4138" w:rsidR="00DE6F42" w:rsidRDefault="000114A4" w:rsidP="003F2484">
            <w:pPr>
              <w:spacing w:before="120" w:after="120" w:line="276" w:lineRule="auto"/>
              <w:rPr>
                <w:rFonts w:asciiTheme="majorHAnsi" w:hAnsiTheme="majorHAnsi" w:cstheme="majorHAnsi"/>
              </w:rPr>
            </w:pPr>
            <w:r w:rsidRPr="00714A76">
              <w:rPr>
                <w:rFonts w:asciiTheme="majorHAnsi" w:hAnsiTheme="majorHAnsi" w:cstheme="majorHAnsi"/>
                <w:bCs/>
              </w:rPr>
              <w:t>U12.L1 (equations and patterns)</w:t>
            </w:r>
          </w:p>
        </w:tc>
        <w:tc>
          <w:tcPr>
            <w:tcW w:w="4500" w:type="dxa"/>
            <w:vAlign w:val="center"/>
          </w:tcPr>
          <w:p w14:paraId="33D95A12" w14:textId="44B8D424" w:rsidR="00DE6F42" w:rsidRDefault="00DE6F42" w:rsidP="003F2484">
            <w:pPr>
              <w:spacing w:before="120" w:after="120" w:line="276" w:lineRule="auto"/>
              <w:rPr>
                <w:rFonts w:asciiTheme="majorHAnsi" w:hAnsiTheme="majorHAnsi" w:cstheme="majorHAnsi"/>
              </w:rPr>
            </w:pPr>
          </w:p>
        </w:tc>
      </w:tr>
      <w:tr w:rsidR="00DE6F42" w14:paraId="46285453" w14:textId="77777777" w:rsidTr="00A30039">
        <w:trPr>
          <w:trHeight w:val="576"/>
        </w:trPr>
        <w:tc>
          <w:tcPr>
            <w:tcW w:w="5755" w:type="dxa"/>
            <w:vAlign w:val="center"/>
          </w:tcPr>
          <w:p w14:paraId="633395C5" w14:textId="4E0A32CC" w:rsidR="00DE6F42" w:rsidRPr="00714A76" w:rsidRDefault="000114A4" w:rsidP="003F2484">
            <w:pPr>
              <w:spacing w:before="120" w:after="120" w:line="276" w:lineRule="auto"/>
              <w:rPr>
                <w:rFonts w:asciiTheme="majorHAnsi" w:hAnsiTheme="majorHAnsi" w:cstheme="majorHAnsi"/>
                <w:bCs/>
              </w:rPr>
            </w:pPr>
            <w:r w:rsidRPr="00714A76">
              <w:rPr>
                <w:rFonts w:asciiTheme="majorHAnsi" w:hAnsiTheme="majorHAnsi" w:cstheme="majorHAnsi"/>
                <w:bCs/>
              </w:rPr>
              <w:t>U15.L1 (statistical data and in-out tables)</w:t>
            </w:r>
          </w:p>
        </w:tc>
        <w:tc>
          <w:tcPr>
            <w:tcW w:w="4500" w:type="dxa"/>
            <w:vAlign w:val="center"/>
          </w:tcPr>
          <w:p w14:paraId="6B9ECCEB" w14:textId="01AF3582" w:rsidR="00DE6F42" w:rsidRDefault="00DE6F42" w:rsidP="003F2484">
            <w:pPr>
              <w:spacing w:before="120" w:after="120" w:line="276" w:lineRule="auto"/>
              <w:rPr>
                <w:rFonts w:asciiTheme="majorHAnsi" w:hAnsiTheme="majorHAnsi" w:cstheme="majorHAnsi"/>
              </w:rPr>
            </w:pPr>
          </w:p>
        </w:tc>
      </w:tr>
      <w:tr w:rsidR="00DE6F42" w14:paraId="0A7EB9ED" w14:textId="77777777" w:rsidTr="00A30039">
        <w:trPr>
          <w:trHeight w:val="576"/>
        </w:trPr>
        <w:tc>
          <w:tcPr>
            <w:tcW w:w="5755" w:type="dxa"/>
            <w:vAlign w:val="center"/>
          </w:tcPr>
          <w:p w14:paraId="78FF981F" w14:textId="011CC4ED" w:rsidR="00DE6F42" w:rsidRPr="00714A76" w:rsidRDefault="000114A4" w:rsidP="003F2484">
            <w:pPr>
              <w:spacing w:before="120" w:after="120" w:line="276" w:lineRule="auto"/>
              <w:rPr>
                <w:rFonts w:asciiTheme="majorHAnsi" w:hAnsiTheme="majorHAnsi" w:cstheme="majorHAnsi"/>
                <w:bCs/>
              </w:rPr>
            </w:pPr>
            <w:r w:rsidRPr="00714A76">
              <w:rPr>
                <w:rFonts w:asciiTheme="majorHAnsi" w:hAnsiTheme="majorHAnsi" w:cstheme="majorHAnsi"/>
                <w:bCs/>
              </w:rPr>
              <w:t>U15.L2 (statistical data and in-out tables)</w:t>
            </w:r>
          </w:p>
        </w:tc>
        <w:tc>
          <w:tcPr>
            <w:tcW w:w="4500" w:type="dxa"/>
            <w:vAlign w:val="center"/>
          </w:tcPr>
          <w:p w14:paraId="1C8A8E38" w14:textId="77777777" w:rsidR="00DE6F42" w:rsidRPr="00714A76" w:rsidRDefault="00DE6F42" w:rsidP="003F2484">
            <w:pPr>
              <w:spacing w:before="120" w:after="120" w:line="276" w:lineRule="auto"/>
              <w:rPr>
                <w:rFonts w:asciiTheme="majorHAnsi" w:hAnsiTheme="majorHAnsi" w:cstheme="majorHAnsi"/>
                <w:bCs/>
              </w:rPr>
            </w:pPr>
          </w:p>
        </w:tc>
      </w:tr>
      <w:tr w:rsidR="00DE6F42" w14:paraId="73DDDA3D" w14:textId="77777777" w:rsidTr="00A30039">
        <w:trPr>
          <w:trHeight w:val="576"/>
        </w:trPr>
        <w:tc>
          <w:tcPr>
            <w:tcW w:w="5755" w:type="dxa"/>
            <w:vAlign w:val="center"/>
          </w:tcPr>
          <w:p w14:paraId="3B1EBA8F" w14:textId="2C44075A" w:rsidR="00DE6F42" w:rsidRPr="00714A76" w:rsidRDefault="000114A4" w:rsidP="003F2484">
            <w:pPr>
              <w:spacing w:before="120" w:after="120" w:line="276" w:lineRule="auto"/>
              <w:rPr>
                <w:rFonts w:asciiTheme="majorHAnsi" w:hAnsiTheme="majorHAnsi" w:cstheme="majorHAnsi"/>
                <w:bCs/>
              </w:rPr>
            </w:pPr>
            <w:r w:rsidRPr="00714A76">
              <w:rPr>
                <w:rFonts w:asciiTheme="majorHAnsi" w:hAnsiTheme="majorHAnsi" w:cstheme="majorHAnsi"/>
                <w:bCs/>
              </w:rPr>
              <w:lastRenderedPageBreak/>
              <w:t>U16.L1 (dot plots)</w:t>
            </w:r>
          </w:p>
        </w:tc>
        <w:tc>
          <w:tcPr>
            <w:tcW w:w="4500" w:type="dxa"/>
            <w:vAlign w:val="center"/>
          </w:tcPr>
          <w:p w14:paraId="0F6D6C3B" w14:textId="77777777" w:rsidR="00DE6F42" w:rsidRPr="00714A76" w:rsidRDefault="00DE6F42" w:rsidP="003F2484">
            <w:pPr>
              <w:spacing w:before="120" w:after="120" w:line="276" w:lineRule="auto"/>
              <w:rPr>
                <w:rFonts w:asciiTheme="majorHAnsi" w:hAnsiTheme="majorHAnsi" w:cstheme="majorHAnsi"/>
                <w:bCs/>
              </w:rPr>
            </w:pPr>
          </w:p>
        </w:tc>
      </w:tr>
      <w:tr w:rsidR="00971D35" w14:paraId="1470A32F" w14:textId="77777777" w:rsidTr="00A30039">
        <w:trPr>
          <w:trHeight w:val="576"/>
        </w:trPr>
        <w:tc>
          <w:tcPr>
            <w:tcW w:w="5755" w:type="dxa"/>
            <w:vAlign w:val="center"/>
          </w:tcPr>
          <w:p w14:paraId="11F771FA" w14:textId="235433E8"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U18.L1 (linear relationships)</w:t>
            </w:r>
          </w:p>
        </w:tc>
        <w:tc>
          <w:tcPr>
            <w:tcW w:w="4500" w:type="dxa"/>
            <w:vAlign w:val="center"/>
          </w:tcPr>
          <w:p w14:paraId="1E934FFF" w14:textId="77777777" w:rsidR="00971D35" w:rsidRPr="00714A76" w:rsidRDefault="00971D35" w:rsidP="00971D35">
            <w:pPr>
              <w:spacing w:before="120" w:after="120" w:line="276" w:lineRule="auto"/>
              <w:rPr>
                <w:rFonts w:asciiTheme="majorHAnsi" w:hAnsiTheme="majorHAnsi" w:cstheme="majorHAnsi"/>
                <w:bCs/>
              </w:rPr>
            </w:pPr>
          </w:p>
        </w:tc>
      </w:tr>
      <w:tr w:rsidR="00971D35" w14:paraId="70F67392" w14:textId="77777777" w:rsidTr="00A30039">
        <w:trPr>
          <w:trHeight w:val="576"/>
        </w:trPr>
        <w:tc>
          <w:tcPr>
            <w:tcW w:w="5755" w:type="dxa"/>
            <w:vAlign w:val="center"/>
          </w:tcPr>
          <w:p w14:paraId="1BE9E183" w14:textId="7E72C081"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U18.L2 (linear relationships and patterns)</w:t>
            </w:r>
          </w:p>
        </w:tc>
        <w:tc>
          <w:tcPr>
            <w:tcW w:w="4500" w:type="dxa"/>
            <w:vAlign w:val="center"/>
          </w:tcPr>
          <w:p w14:paraId="09C1F591" w14:textId="77777777" w:rsidR="00971D35" w:rsidRPr="00714A76" w:rsidRDefault="00971D35" w:rsidP="00971D35">
            <w:pPr>
              <w:spacing w:before="120" w:after="120" w:line="276" w:lineRule="auto"/>
              <w:rPr>
                <w:rFonts w:asciiTheme="majorHAnsi" w:hAnsiTheme="majorHAnsi" w:cstheme="majorHAnsi"/>
                <w:bCs/>
              </w:rPr>
            </w:pPr>
          </w:p>
        </w:tc>
      </w:tr>
      <w:tr w:rsidR="00971D35" w14:paraId="22836892" w14:textId="77777777" w:rsidTr="00A30039">
        <w:trPr>
          <w:trHeight w:val="576"/>
        </w:trPr>
        <w:tc>
          <w:tcPr>
            <w:tcW w:w="5755" w:type="dxa"/>
            <w:vAlign w:val="center"/>
          </w:tcPr>
          <w:p w14:paraId="53E09423" w14:textId="7ECFA6C0"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U18.L3 (linear relationships and in-out tables)</w:t>
            </w:r>
          </w:p>
        </w:tc>
        <w:tc>
          <w:tcPr>
            <w:tcW w:w="4500" w:type="dxa"/>
            <w:vAlign w:val="center"/>
          </w:tcPr>
          <w:p w14:paraId="456082B6" w14:textId="77777777" w:rsidR="00971D35" w:rsidRPr="00714A76" w:rsidRDefault="00971D35" w:rsidP="00971D35">
            <w:pPr>
              <w:spacing w:before="120" w:after="120" w:line="276" w:lineRule="auto"/>
              <w:rPr>
                <w:rFonts w:asciiTheme="majorHAnsi" w:hAnsiTheme="majorHAnsi" w:cstheme="majorHAnsi"/>
                <w:bCs/>
              </w:rPr>
            </w:pPr>
          </w:p>
        </w:tc>
      </w:tr>
      <w:tr w:rsidR="00971D35" w14:paraId="174590D2" w14:textId="77777777" w:rsidTr="00A30039">
        <w:trPr>
          <w:trHeight w:val="576"/>
        </w:trPr>
        <w:tc>
          <w:tcPr>
            <w:tcW w:w="5755" w:type="dxa"/>
            <w:vAlign w:val="center"/>
          </w:tcPr>
          <w:p w14:paraId="660119C3" w14:textId="66ABD885"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U18.L4 (linear relationships and the y-intercept)</w:t>
            </w:r>
          </w:p>
        </w:tc>
        <w:tc>
          <w:tcPr>
            <w:tcW w:w="4500" w:type="dxa"/>
            <w:vAlign w:val="center"/>
          </w:tcPr>
          <w:p w14:paraId="7DD609DE" w14:textId="77777777" w:rsidR="00971D35" w:rsidRPr="00714A76" w:rsidRDefault="00971D35" w:rsidP="00971D35">
            <w:pPr>
              <w:spacing w:before="120" w:after="120" w:line="276" w:lineRule="auto"/>
              <w:rPr>
                <w:rFonts w:asciiTheme="majorHAnsi" w:hAnsiTheme="majorHAnsi" w:cstheme="majorHAnsi"/>
                <w:bCs/>
              </w:rPr>
            </w:pPr>
          </w:p>
        </w:tc>
      </w:tr>
      <w:tr w:rsidR="00971D35" w14:paraId="45763ADB" w14:textId="77777777" w:rsidTr="00A30039">
        <w:trPr>
          <w:trHeight w:val="576"/>
        </w:trPr>
        <w:tc>
          <w:tcPr>
            <w:tcW w:w="5755" w:type="dxa"/>
            <w:vAlign w:val="center"/>
          </w:tcPr>
          <w:p w14:paraId="673E8F12" w14:textId="68A8786F"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U19.L1 (writing equations from tables)</w:t>
            </w:r>
          </w:p>
        </w:tc>
        <w:tc>
          <w:tcPr>
            <w:tcW w:w="4500" w:type="dxa"/>
            <w:vAlign w:val="center"/>
          </w:tcPr>
          <w:p w14:paraId="71BEF2D1" w14:textId="77777777" w:rsidR="00971D35" w:rsidRPr="00714A76" w:rsidRDefault="00971D35" w:rsidP="00971D35">
            <w:pPr>
              <w:spacing w:before="120" w:after="120" w:line="276" w:lineRule="auto"/>
              <w:rPr>
                <w:rFonts w:asciiTheme="majorHAnsi" w:hAnsiTheme="majorHAnsi" w:cstheme="majorHAnsi"/>
                <w:bCs/>
              </w:rPr>
            </w:pPr>
          </w:p>
        </w:tc>
      </w:tr>
      <w:tr w:rsidR="00971D35" w14:paraId="18CDF048" w14:textId="77777777" w:rsidTr="00A30039">
        <w:trPr>
          <w:trHeight w:val="576"/>
        </w:trPr>
        <w:tc>
          <w:tcPr>
            <w:tcW w:w="5755" w:type="dxa"/>
            <w:vAlign w:val="center"/>
          </w:tcPr>
          <w:p w14:paraId="41DE0010" w14:textId="22213403"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U19.L2 (</w:t>
            </w:r>
            <w:r w:rsidRPr="00714A76">
              <w:rPr>
                <w:rFonts w:asciiTheme="majorHAnsi" w:hAnsiTheme="majorHAnsi" w:cstheme="majorHAnsi"/>
              </w:rPr>
              <w:t>connecting in-out tables and equations to graphs</w:t>
            </w:r>
            <w:r w:rsidRPr="00714A76">
              <w:rPr>
                <w:rFonts w:asciiTheme="majorHAnsi" w:hAnsiTheme="majorHAnsi" w:cstheme="majorHAnsi"/>
                <w:bCs/>
              </w:rPr>
              <w:t>)</w:t>
            </w:r>
          </w:p>
        </w:tc>
        <w:tc>
          <w:tcPr>
            <w:tcW w:w="4500" w:type="dxa"/>
            <w:vAlign w:val="center"/>
          </w:tcPr>
          <w:p w14:paraId="6DFCDD98" w14:textId="77777777" w:rsidR="00971D35" w:rsidRPr="00714A76" w:rsidRDefault="00971D35" w:rsidP="00971D35">
            <w:pPr>
              <w:spacing w:before="120" w:after="120" w:line="276" w:lineRule="auto"/>
              <w:rPr>
                <w:rFonts w:asciiTheme="majorHAnsi" w:hAnsiTheme="majorHAnsi" w:cstheme="majorHAnsi"/>
                <w:bCs/>
              </w:rPr>
            </w:pPr>
          </w:p>
        </w:tc>
      </w:tr>
      <w:tr w:rsidR="00971D35" w14:paraId="3FB615F6" w14:textId="77777777" w:rsidTr="00A30039">
        <w:trPr>
          <w:trHeight w:val="576"/>
        </w:trPr>
        <w:tc>
          <w:tcPr>
            <w:tcW w:w="5755" w:type="dxa"/>
            <w:vAlign w:val="center"/>
          </w:tcPr>
          <w:p w14:paraId="48FB0A86" w14:textId="09CA6539"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U19.L3 (s</w:t>
            </w:r>
            <w:r w:rsidRPr="00714A76">
              <w:rPr>
                <w:rFonts w:asciiTheme="majorHAnsi" w:hAnsiTheme="majorHAnsi" w:cstheme="majorHAnsi"/>
              </w:rPr>
              <w:t>lope-intercept form</w:t>
            </w:r>
            <w:r w:rsidRPr="00714A76">
              <w:rPr>
                <w:rFonts w:asciiTheme="majorHAnsi" w:hAnsiTheme="majorHAnsi" w:cstheme="majorHAnsi"/>
                <w:bCs/>
              </w:rPr>
              <w:t>)</w:t>
            </w:r>
          </w:p>
        </w:tc>
        <w:tc>
          <w:tcPr>
            <w:tcW w:w="4500" w:type="dxa"/>
            <w:vAlign w:val="center"/>
          </w:tcPr>
          <w:p w14:paraId="76E80FE1" w14:textId="77777777" w:rsidR="00971D35" w:rsidRPr="00714A76" w:rsidRDefault="00971D35" w:rsidP="00971D35">
            <w:pPr>
              <w:spacing w:before="120" w:after="120" w:line="276" w:lineRule="auto"/>
              <w:rPr>
                <w:rFonts w:asciiTheme="majorHAnsi" w:hAnsiTheme="majorHAnsi" w:cstheme="majorHAnsi"/>
                <w:bCs/>
              </w:rPr>
            </w:pPr>
          </w:p>
        </w:tc>
      </w:tr>
      <w:tr w:rsidR="00971D35" w14:paraId="3D793889" w14:textId="77777777" w:rsidTr="00A30039">
        <w:trPr>
          <w:trHeight w:val="576"/>
        </w:trPr>
        <w:tc>
          <w:tcPr>
            <w:tcW w:w="5755" w:type="dxa"/>
            <w:vAlign w:val="center"/>
          </w:tcPr>
          <w:p w14:paraId="22638CBB" w14:textId="2513D065"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U19.L4 (s</w:t>
            </w:r>
            <w:r w:rsidRPr="00714A76">
              <w:rPr>
                <w:rFonts w:asciiTheme="majorHAnsi" w:hAnsiTheme="majorHAnsi" w:cstheme="majorHAnsi"/>
              </w:rPr>
              <w:t>lope and y-intercept in context</w:t>
            </w:r>
            <w:r w:rsidRPr="00714A76">
              <w:rPr>
                <w:rFonts w:asciiTheme="majorHAnsi" w:hAnsiTheme="majorHAnsi" w:cstheme="majorHAnsi"/>
                <w:bCs/>
              </w:rPr>
              <w:t>)</w:t>
            </w:r>
          </w:p>
        </w:tc>
        <w:tc>
          <w:tcPr>
            <w:tcW w:w="4500" w:type="dxa"/>
            <w:vAlign w:val="center"/>
          </w:tcPr>
          <w:p w14:paraId="3D77F184" w14:textId="77777777" w:rsidR="00971D35" w:rsidRPr="00714A76" w:rsidRDefault="00971D35" w:rsidP="00971D35">
            <w:pPr>
              <w:spacing w:before="120" w:after="120" w:line="276" w:lineRule="auto"/>
              <w:rPr>
                <w:rFonts w:asciiTheme="majorHAnsi" w:hAnsiTheme="majorHAnsi" w:cstheme="majorHAnsi"/>
                <w:bCs/>
              </w:rPr>
            </w:pPr>
          </w:p>
        </w:tc>
      </w:tr>
      <w:tr w:rsidR="00971D35" w14:paraId="04894290" w14:textId="77777777" w:rsidTr="00A30039">
        <w:trPr>
          <w:trHeight w:val="576"/>
        </w:trPr>
        <w:tc>
          <w:tcPr>
            <w:tcW w:w="5755" w:type="dxa"/>
            <w:vAlign w:val="center"/>
          </w:tcPr>
          <w:p w14:paraId="4010C12D" w14:textId="5657A350"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U19.L5 (algebra</w:t>
            </w:r>
            <w:r w:rsidRPr="00714A76">
              <w:rPr>
                <w:rFonts w:asciiTheme="majorHAnsi" w:hAnsiTheme="majorHAnsi" w:cstheme="majorHAnsi"/>
              </w:rPr>
              <w:t xml:space="preserve"> in context</w:t>
            </w:r>
            <w:r w:rsidRPr="00714A76">
              <w:rPr>
                <w:rFonts w:asciiTheme="majorHAnsi" w:hAnsiTheme="majorHAnsi" w:cstheme="majorHAnsi"/>
                <w:bCs/>
              </w:rPr>
              <w:t>)</w:t>
            </w:r>
          </w:p>
        </w:tc>
        <w:tc>
          <w:tcPr>
            <w:tcW w:w="4500" w:type="dxa"/>
            <w:vAlign w:val="center"/>
          </w:tcPr>
          <w:p w14:paraId="5DCFB616" w14:textId="77777777" w:rsidR="00971D35" w:rsidRPr="00714A76" w:rsidRDefault="00971D35" w:rsidP="00971D35">
            <w:pPr>
              <w:spacing w:before="120" w:after="120" w:line="276" w:lineRule="auto"/>
              <w:rPr>
                <w:rFonts w:asciiTheme="majorHAnsi" w:hAnsiTheme="majorHAnsi" w:cstheme="majorHAnsi"/>
                <w:bCs/>
              </w:rPr>
            </w:pPr>
          </w:p>
        </w:tc>
      </w:tr>
      <w:tr w:rsidR="00971D35" w14:paraId="2A150638" w14:textId="77777777" w:rsidTr="00A30039">
        <w:trPr>
          <w:trHeight w:val="576"/>
        </w:trPr>
        <w:tc>
          <w:tcPr>
            <w:tcW w:w="5755" w:type="dxa"/>
            <w:vAlign w:val="center"/>
          </w:tcPr>
          <w:p w14:paraId="689CB408" w14:textId="719FF57E" w:rsidR="00971D35" w:rsidRPr="00714A76" w:rsidRDefault="00971D35" w:rsidP="00971D35">
            <w:pPr>
              <w:spacing w:before="120" w:after="120" w:line="276" w:lineRule="auto"/>
              <w:rPr>
                <w:rFonts w:asciiTheme="majorHAnsi" w:hAnsiTheme="majorHAnsi" w:cstheme="majorHAnsi"/>
                <w:bCs/>
              </w:rPr>
            </w:pPr>
            <w:r w:rsidRPr="00714A76">
              <w:rPr>
                <w:rFonts w:asciiTheme="majorHAnsi" w:hAnsiTheme="majorHAnsi" w:cstheme="majorHAnsi"/>
                <w:bCs/>
              </w:rPr>
              <w:t>U19.L6 (algebra in context)</w:t>
            </w:r>
          </w:p>
        </w:tc>
        <w:tc>
          <w:tcPr>
            <w:tcW w:w="4500" w:type="dxa"/>
            <w:vAlign w:val="center"/>
          </w:tcPr>
          <w:p w14:paraId="5EB392D6" w14:textId="77777777" w:rsidR="00971D35" w:rsidRPr="00714A76" w:rsidRDefault="00971D35" w:rsidP="00971D35">
            <w:pPr>
              <w:spacing w:before="120" w:after="120" w:line="276" w:lineRule="auto"/>
              <w:rPr>
                <w:rFonts w:asciiTheme="majorHAnsi" w:hAnsiTheme="majorHAnsi" w:cstheme="majorHAnsi"/>
                <w:bCs/>
              </w:rPr>
            </w:pPr>
          </w:p>
        </w:tc>
      </w:tr>
    </w:tbl>
    <w:p w14:paraId="5D1BB3CC" w14:textId="0ACD71FA" w:rsidR="00AA4609" w:rsidRDefault="00AA4609" w:rsidP="00714A76">
      <w:pPr>
        <w:spacing w:after="120"/>
        <w:rPr>
          <w:rFonts w:asciiTheme="majorHAnsi" w:hAnsiTheme="majorHAnsi" w:cstheme="majorHAnsi"/>
        </w:rPr>
      </w:pPr>
    </w:p>
    <w:p w14:paraId="7ACF8130" w14:textId="77777777" w:rsidR="00302CCE" w:rsidRPr="00A30039" w:rsidRDefault="00302CCE" w:rsidP="00302CCE">
      <w:pPr>
        <w:rPr>
          <w:rFonts w:asciiTheme="majorHAnsi" w:hAnsiTheme="majorHAnsi" w:cstheme="majorHAnsi"/>
        </w:rPr>
      </w:pPr>
      <w:r w:rsidRPr="00A30039">
        <w:rPr>
          <w:rFonts w:asciiTheme="majorHAnsi" w:hAnsiTheme="majorHAnsi" w:cstheme="majorHAnsi"/>
          <w:b/>
          <w:bCs/>
        </w:rPr>
        <w:t>Notes to Teachers:</w:t>
      </w:r>
    </w:p>
    <w:p w14:paraId="059BF88A" w14:textId="77777777" w:rsidR="00302CCE" w:rsidRPr="00A30039" w:rsidRDefault="00302CCE" w:rsidP="00302CCE">
      <w:pPr>
        <w:pStyle w:val="ListParagraph"/>
        <w:numPr>
          <w:ilvl w:val="0"/>
          <w:numId w:val="2"/>
        </w:numPr>
        <w:spacing w:line="262" w:lineRule="auto"/>
        <w:rPr>
          <w:rFonts w:asciiTheme="majorHAnsi" w:hAnsiTheme="majorHAnsi" w:cstheme="majorHAnsi"/>
        </w:rPr>
      </w:pPr>
      <w:r w:rsidRPr="00A30039">
        <w:rPr>
          <w:rFonts w:asciiTheme="majorHAnsi" w:hAnsiTheme="majorHAnsi" w:cstheme="majorHAnsi"/>
        </w:rPr>
        <w:t xml:space="preserve">The entire curriculum is a complete progression. This two-page progression highlights selected lessons related to linear functions. </w:t>
      </w:r>
    </w:p>
    <w:p w14:paraId="4B9A8167" w14:textId="209A6F14" w:rsidR="00302CCE" w:rsidRPr="00A30039" w:rsidRDefault="00302CCE" w:rsidP="00302CCE">
      <w:pPr>
        <w:pStyle w:val="ListParagraph"/>
        <w:numPr>
          <w:ilvl w:val="0"/>
          <w:numId w:val="2"/>
        </w:numPr>
        <w:spacing w:line="262" w:lineRule="auto"/>
        <w:rPr>
          <w:rFonts w:asciiTheme="majorHAnsi" w:hAnsiTheme="majorHAnsi" w:cstheme="majorHAnsi"/>
        </w:rPr>
      </w:pPr>
      <w:r w:rsidRPr="00A30039">
        <w:rPr>
          <w:rFonts w:asciiTheme="majorHAnsi" w:hAnsiTheme="majorHAnsi" w:cstheme="majorHAnsi"/>
        </w:rPr>
        <w:t xml:space="preserve">Each CALM lesson builds into the next. Keep this in mind as you seek to use this modified progression. Be sure to read (just below the title of each lesson plan) how this specific lesson connects to previous work in CALM. Recognize that some students may need some additional support to make those connections more concrete, </w:t>
      </w:r>
      <w:r w:rsidR="000E108A" w:rsidRPr="00A30039">
        <w:rPr>
          <w:rFonts w:asciiTheme="majorHAnsi" w:hAnsiTheme="majorHAnsi" w:cstheme="majorHAnsi"/>
        </w:rPr>
        <w:t>i.e.,</w:t>
      </w:r>
      <w:r w:rsidRPr="00A30039">
        <w:rPr>
          <w:rFonts w:asciiTheme="majorHAnsi" w:hAnsiTheme="majorHAnsi" w:cstheme="majorHAnsi"/>
        </w:rPr>
        <w:t xml:space="preserve"> you may find it useful to review what was previously taught before deciding on how to move forward. Additional practice from other resources in your classroom also may be used.</w:t>
      </w:r>
    </w:p>
    <w:p w14:paraId="016319E6" w14:textId="77777777" w:rsidR="00302CCE" w:rsidRPr="00A30039" w:rsidRDefault="00302CCE" w:rsidP="00302CCE">
      <w:pPr>
        <w:pStyle w:val="ListParagraph"/>
        <w:numPr>
          <w:ilvl w:val="0"/>
          <w:numId w:val="2"/>
        </w:numPr>
        <w:spacing w:line="262" w:lineRule="auto"/>
        <w:rPr>
          <w:rFonts w:asciiTheme="majorHAnsi" w:hAnsiTheme="majorHAnsi" w:cstheme="majorHAnsi"/>
        </w:rPr>
      </w:pPr>
      <w:r w:rsidRPr="00A30039">
        <w:rPr>
          <w:rFonts w:asciiTheme="majorHAnsi" w:hAnsiTheme="majorHAnsi" w:cstheme="majorHAnsi"/>
        </w:rPr>
        <w:t>You may need to provide your own transitions or segues between nonconsecutive lessons and units.</w:t>
      </w:r>
    </w:p>
    <w:p w14:paraId="51E538FD" w14:textId="594C5E99" w:rsidR="00302CCE" w:rsidRPr="00A30039" w:rsidRDefault="00302CCE" w:rsidP="00302CCE">
      <w:pPr>
        <w:pStyle w:val="ListParagraph"/>
        <w:numPr>
          <w:ilvl w:val="0"/>
          <w:numId w:val="2"/>
        </w:numPr>
        <w:spacing w:line="262" w:lineRule="auto"/>
        <w:rPr>
          <w:rFonts w:asciiTheme="majorHAnsi" w:hAnsiTheme="majorHAnsi" w:cstheme="majorHAnsi"/>
        </w:rPr>
      </w:pPr>
      <w:r w:rsidRPr="00A30039">
        <w:rPr>
          <w:rFonts w:asciiTheme="majorHAnsi" w:hAnsiTheme="majorHAnsi" w:cstheme="majorHAnsi"/>
        </w:rPr>
        <w:t>Workforce Application Assessments and Unit Final Assessment Questions are excellent resources for evaluating if your students are ready to move on to the next unit. Even if these materials are not listed in the</w:t>
      </w:r>
      <w:r w:rsidR="00A20FA7" w:rsidRPr="00A30039">
        <w:rPr>
          <w:rFonts w:asciiTheme="majorHAnsi" w:hAnsiTheme="majorHAnsi" w:cstheme="majorHAnsi"/>
        </w:rPr>
        <w:t xml:space="preserve"> above </w:t>
      </w:r>
      <w:r w:rsidRPr="00A30039">
        <w:rPr>
          <w:rFonts w:asciiTheme="majorHAnsi" w:hAnsiTheme="majorHAnsi" w:cstheme="majorHAnsi"/>
        </w:rPr>
        <w:t xml:space="preserve">progression, we encourage you to incorporate them into your class and/or homework time on a regular basis. </w:t>
      </w:r>
    </w:p>
    <w:p w14:paraId="069A47A2" w14:textId="394A334F" w:rsidR="00AA4609" w:rsidRPr="00A30039" w:rsidRDefault="00302CCE" w:rsidP="00302CCE">
      <w:pPr>
        <w:pStyle w:val="ListParagraph"/>
        <w:numPr>
          <w:ilvl w:val="0"/>
          <w:numId w:val="2"/>
        </w:numPr>
        <w:spacing w:line="262" w:lineRule="auto"/>
        <w:rPr>
          <w:rFonts w:asciiTheme="majorHAnsi" w:hAnsiTheme="majorHAnsi" w:cstheme="majorHAnsi"/>
        </w:rPr>
      </w:pPr>
      <w:r w:rsidRPr="00A30039">
        <w:rPr>
          <w:rFonts w:asciiTheme="majorHAnsi" w:hAnsiTheme="majorHAnsi" w:cstheme="majorHAnsi"/>
        </w:rPr>
        <w:t>Don’t forget CALM’s motto - Slow down to speed up. Recognize that teaching conceptually takes time to teach and learn but ultimately builds a solid foundation for advancing students through greater content than pure repetition and memorization techniques.</w:t>
      </w:r>
    </w:p>
    <w:sectPr w:rsidR="00AA4609" w:rsidRPr="00A30039" w:rsidSect="00971D35">
      <w:headerReference w:type="default" r:id="rId8"/>
      <w:footerReference w:type="default" r:id="rId9"/>
      <w:headerReference w:type="first" r:id="rId10"/>
      <w:footerReference w:type="first" r:id="rId11"/>
      <w:pgSz w:w="12240" w:h="15840"/>
      <w:pgMar w:top="1440" w:right="1008" w:bottom="1170"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C777" w14:textId="77777777" w:rsidR="00D93416" w:rsidRDefault="00D93416" w:rsidP="00CF092C">
      <w:pPr>
        <w:spacing w:line="240" w:lineRule="auto"/>
      </w:pPr>
      <w:r>
        <w:separator/>
      </w:r>
    </w:p>
  </w:endnote>
  <w:endnote w:type="continuationSeparator" w:id="0">
    <w:p w14:paraId="025D8F1E" w14:textId="77777777" w:rsidR="00D93416" w:rsidRDefault="00D93416" w:rsidP="00CF0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4B0E" w14:textId="77777777" w:rsidR="00214148" w:rsidRDefault="00214148" w:rsidP="00214148">
    <w:pPr>
      <w:pStyle w:val="Header"/>
      <w:tabs>
        <w:tab w:val="clear" w:pos="4680"/>
        <w:tab w:val="clear" w:pos="9360"/>
        <w:tab w:val="left" w:pos="4470"/>
      </w:tabs>
    </w:pPr>
  </w:p>
  <w:sdt>
    <w:sdtPr>
      <w:rPr>
        <w:sz w:val="18"/>
        <w:szCs w:val="18"/>
      </w:rPr>
      <w:id w:val="2102601401"/>
      <w:docPartObj>
        <w:docPartGallery w:val="Page Numbers (Bottom of Page)"/>
        <w:docPartUnique/>
      </w:docPartObj>
    </w:sdtPr>
    <w:sdtEndPr>
      <w:rPr>
        <w:rFonts w:ascii="Calibri" w:hAnsi="Calibri"/>
      </w:rPr>
    </w:sdtEndPr>
    <w:sdtContent>
      <w:p w14:paraId="6BD840AF" w14:textId="77777777" w:rsidR="00214148" w:rsidRDefault="00214148" w:rsidP="00214148">
        <w:pPr>
          <w:pStyle w:val="Footer"/>
          <w:ind w:firstLine="720"/>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5C72357D" wp14:editId="247AF50C">
                  <wp:simplePos x="0" y="0"/>
                  <wp:positionH relativeFrom="column">
                    <wp:posOffset>-38735</wp:posOffset>
                  </wp:positionH>
                  <wp:positionV relativeFrom="paragraph">
                    <wp:posOffset>50165</wp:posOffset>
                  </wp:positionV>
                  <wp:extent cx="6492240" cy="2540"/>
                  <wp:effectExtent l="0" t="0" r="35560" b="48260"/>
                  <wp:wrapNone/>
                  <wp:docPr id="2" name="Straight Connector 2"/>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487E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" strokecolor="#40a7c2 [3048]"/>
              </w:pict>
            </mc:Fallback>
          </mc:AlternateContent>
        </w:r>
      </w:p>
      <w:p w14:paraId="1090EF32" w14:textId="663A2E2F" w:rsidR="00214148" w:rsidRPr="00214148" w:rsidRDefault="00214148">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2</w:t>
        </w:r>
        <w:r w:rsidRPr="009E3ADA">
          <w:rPr>
            <w:rFonts w:ascii="Calibri" w:hAnsi="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4DAB" w14:textId="77777777" w:rsidR="00214148" w:rsidRDefault="00214148" w:rsidP="00214148">
    <w:pPr>
      <w:pStyle w:val="Header"/>
      <w:tabs>
        <w:tab w:val="clear" w:pos="4680"/>
        <w:tab w:val="clear" w:pos="9360"/>
        <w:tab w:val="left" w:pos="4470"/>
      </w:tabs>
    </w:pPr>
  </w:p>
  <w:sdt>
    <w:sdtPr>
      <w:rPr>
        <w:sz w:val="18"/>
        <w:szCs w:val="18"/>
      </w:rPr>
      <w:id w:val="-881408935"/>
      <w:docPartObj>
        <w:docPartGallery w:val="Page Numbers (Bottom of Page)"/>
        <w:docPartUnique/>
      </w:docPartObj>
    </w:sdtPr>
    <w:sdtEndPr>
      <w:rPr>
        <w:rFonts w:ascii="Calibri" w:hAnsi="Calibri"/>
      </w:rPr>
    </w:sdtEndPr>
    <w:sdtContent>
      <w:p w14:paraId="0BE47F40" w14:textId="77777777" w:rsidR="00214148" w:rsidRDefault="00214148" w:rsidP="00214148">
        <w:pPr>
          <w:pStyle w:val="Footer"/>
          <w:ind w:firstLine="720"/>
          <w:jc w:val="both"/>
          <w:rPr>
            <w:sz w:val="18"/>
            <w:szCs w:val="18"/>
          </w:rPr>
        </w:pPr>
        <w:r>
          <w:rPr>
            <w:noProof/>
            <w:sz w:val="18"/>
            <w:szCs w:val="18"/>
          </w:rPr>
          <mc:AlternateContent>
            <mc:Choice Requires="wps">
              <w:drawing>
                <wp:anchor distT="0" distB="0" distL="114300" distR="114300" simplePos="0" relativeHeight="251659264" behindDoc="0" locked="0" layoutInCell="1" allowOverlap="1" wp14:anchorId="0DB84418" wp14:editId="71190BA8">
                  <wp:simplePos x="0" y="0"/>
                  <wp:positionH relativeFrom="column">
                    <wp:posOffset>-38735</wp:posOffset>
                  </wp:positionH>
                  <wp:positionV relativeFrom="paragraph">
                    <wp:posOffset>50165</wp:posOffset>
                  </wp:positionV>
                  <wp:extent cx="6492240" cy="2540"/>
                  <wp:effectExtent l="0" t="0" r="35560" b="48260"/>
                  <wp:wrapNone/>
                  <wp:docPr id="1" name="Straight Connector 1"/>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622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" strokecolor="#40a7c2 [3048]"/>
              </w:pict>
            </mc:Fallback>
          </mc:AlternateContent>
        </w:r>
      </w:p>
      <w:p w14:paraId="448CB2EA" w14:textId="0DA61B79" w:rsidR="00214148" w:rsidRPr="00214148" w:rsidRDefault="00214148">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2</w:t>
        </w:r>
        <w:r w:rsidRPr="009E3ADA">
          <w:rPr>
            <w:rFonts w:ascii="Calibri" w:hAnsi="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3726" w14:textId="77777777" w:rsidR="00D93416" w:rsidRDefault="00D93416" w:rsidP="00CF092C">
      <w:pPr>
        <w:spacing w:line="240" w:lineRule="auto"/>
      </w:pPr>
      <w:r>
        <w:separator/>
      </w:r>
    </w:p>
  </w:footnote>
  <w:footnote w:type="continuationSeparator" w:id="0">
    <w:p w14:paraId="7FCCF968" w14:textId="77777777" w:rsidR="00D93416" w:rsidRDefault="00D93416" w:rsidP="00CF0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1A39" w14:textId="7738AE6C" w:rsidR="00214148" w:rsidRPr="00214148" w:rsidRDefault="00214148" w:rsidP="00214148">
    <w:pPr>
      <w:pStyle w:val="Header"/>
      <w:jc w:val="center"/>
      <w:rPr>
        <w:rFonts w:asciiTheme="majorHAnsi" w:hAnsiTheme="majorHAnsi" w:cstheme="majorHAnsi"/>
        <w:b/>
        <w:bCs/>
        <w:i/>
        <w:iCs/>
        <w:color w:val="548DD4" w:themeColor="text2" w:themeTint="99"/>
        <w:sz w:val="32"/>
        <w:szCs w:val="32"/>
      </w:rPr>
    </w:pPr>
    <w:r w:rsidRPr="00CF092C">
      <w:rPr>
        <w:rFonts w:asciiTheme="majorHAnsi" w:hAnsiTheme="majorHAnsi" w:cstheme="majorHAnsi"/>
        <w:b/>
        <w:bCs/>
        <w:i/>
        <w:iCs/>
        <w:color w:val="548DD4" w:themeColor="text2" w:themeTint="99"/>
        <w:sz w:val="32"/>
        <w:szCs w:val="32"/>
      </w:rPr>
      <w:t>LINEAR FUNCTIONS</w:t>
    </w:r>
    <w:r w:rsidR="00ED4AFB">
      <w:rPr>
        <w:rFonts w:asciiTheme="majorHAnsi" w:hAnsiTheme="majorHAnsi" w:cstheme="majorHAnsi"/>
        <w:b/>
        <w:bCs/>
        <w:i/>
        <w:iCs/>
        <w:color w:val="548DD4" w:themeColor="text2" w:themeTint="99"/>
        <w:sz w:val="32"/>
        <w:szCs w:val="32"/>
      </w:rPr>
      <w:t xml:space="preserve"> DEVELOPMENTAL</w:t>
    </w:r>
    <w:r w:rsidRPr="00CF092C">
      <w:rPr>
        <w:rFonts w:asciiTheme="majorHAnsi" w:hAnsiTheme="majorHAnsi" w:cstheme="majorHAnsi"/>
        <w:b/>
        <w:bCs/>
        <w:i/>
        <w:iCs/>
        <w:color w:val="548DD4" w:themeColor="text2" w:themeTint="99"/>
        <w:sz w:val="32"/>
        <w:szCs w:val="32"/>
      </w:rPr>
      <w:t xml:space="preserve"> PROGRESSION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8E05" w14:textId="19CB3FEF" w:rsidR="008D1E89" w:rsidRPr="00CF092C" w:rsidRDefault="008D1E89" w:rsidP="008D1E89">
    <w:pPr>
      <w:pStyle w:val="Header"/>
      <w:jc w:val="center"/>
      <w:rPr>
        <w:rFonts w:asciiTheme="majorHAnsi" w:hAnsiTheme="majorHAnsi" w:cstheme="majorHAnsi"/>
        <w:b/>
        <w:bCs/>
        <w:i/>
        <w:iCs/>
        <w:color w:val="548DD4" w:themeColor="text2" w:themeTint="99"/>
        <w:sz w:val="32"/>
        <w:szCs w:val="32"/>
      </w:rPr>
    </w:pPr>
    <w:r w:rsidRPr="00CF092C">
      <w:rPr>
        <w:rFonts w:asciiTheme="majorHAnsi" w:hAnsiTheme="majorHAnsi" w:cstheme="majorHAnsi"/>
        <w:b/>
        <w:bCs/>
        <w:i/>
        <w:iCs/>
        <w:color w:val="548DD4" w:themeColor="text2" w:themeTint="99"/>
        <w:sz w:val="32"/>
        <w:szCs w:val="32"/>
      </w:rPr>
      <w:t>LINEAR FUNCTIONS PROGRESSION</w:t>
    </w:r>
    <w:bookmarkStart w:id="0" w:name="_Hlk15981532"/>
    <w:r w:rsidR="002E77D8">
      <w:rPr>
        <w:rFonts w:asciiTheme="majorHAnsi" w:hAnsiTheme="majorHAnsi" w:cstheme="majorHAnsi"/>
        <w:b/>
        <w:bCs/>
        <w:i/>
        <w:iCs/>
        <w:color w:val="548DD4" w:themeColor="text2" w:themeTint="99"/>
        <w:sz w:val="32"/>
        <w:szCs w:val="32"/>
      </w:rPr>
      <w:t>_v4.1</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E60"/>
    <w:multiLevelType w:val="hybridMultilevel"/>
    <w:tmpl w:val="05D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4390C"/>
    <w:multiLevelType w:val="multilevel"/>
    <w:tmpl w:val="5B0EC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5A"/>
    <w:rsid w:val="000114A4"/>
    <w:rsid w:val="000328C9"/>
    <w:rsid w:val="00063CC4"/>
    <w:rsid w:val="000A2783"/>
    <w:rsid w:val="000B305A"/>
    <w:rsid w:val="000E108A"/>
    <w:rsid w:val="00194942"/>
    <w:rsid w:val="001E6548"/>
    <w:rsid w:val="002074D3"/>
    <w:rsid w:val="00214148"/>
    <w:rsid w:val="002275B0"/>
    <w:rsid w:val="002339AE"/>
    <w:rsid w:val="002B3A2D"/>
    <w:rsid w:val="002E77D8"/>
    <w:rsid w:val="00302CCE"/>
    <w:rsid w:val="003C2A9C"/>
    <w:rsid w:val="003F2484"/>
    <w:rsid w:val="0040734D"/>
    <w:rsid w:val="0048364A"/>
    <w:rsid w:val="00491FC0"/>
    <w:rsid w:val="00492F3B"/>
    <w:rsid w:val="00494AB8"/>
    <w:rsid w:val="004A6051"/>
    <w:rsid w:val="004D4DBC"/>
    <w:rsid w:val="00550A0A"/>
    <w:rsid w:val="005B6E57"/>
    <w:rsid w:val="005F1B70"/>
    <w:rsid w:val="005F1D1E"/>
    <w:rsid w:val="00643444"/>
    <w:rsid w:val="00663555"/>
    <w:rsid w:val="006D0623"/>
    <w:rsid w:val="006E07F3"/>
    <w:rsid w:val="006F6335"/>
    <w:rsid w:val="00714A76"/>
    <w:rsid w:val="00726574"/>
    <w:rsid w:val="007A0A29"/>
    <w:rsid w:val="0085456E"/>
    <w:rsid w:val="008723D0"/>
    <w:rsid w:val="00873350"/>
    <w:rsid w:val="008B398B"/>
    <w:rsid w:val="008B3E29"/>
    <w:rsid w:val="008D1E89"/>
    <w:rsid w:val="009218CE"/>
    <w:rsid w:val="009639E2"/>
    <w:rsid w:val="00971D35"/>
    <w:rsid w:val="00A007D5"/>
    <w:rsid w:val="00A20FA7"/>
    <w:rsid w:val="00A30039"/>
    <w:rsid w:val="00A50BB5"/>
    <w:rsid w:val="00AA4609"/>
    <w:rsid w:val="00AA5748"/>
    <w:rsid w:val="00B0488E"/>
    <w:rsid w:val="00B253D1"/>
    <w:rsid w:val="00B63AEF"/>
    <w:rsid w:val="00B64CE1"/>
    <w:rsid w:val="00B726AF"/>
    <w:rsid w:val="00BA0D28"/>
    <w:rsid w:val="00BB372E"/>
    <w:rsid w:val="00C10A28"/>
    <w:rsid w:val="00C12878"/>
    <w:rsid w:val="00CA7D21"/>
    <w:rsid w:val="00CC5B43"/>
    <w:rsid w:val="00CF092C"/>
    <w:rsid w:val="00D14783"/>
    <w:rsid w:val="00D86D62"/>
    <w:rsid w:val="00D9312F"/>
    <w:rsid w:val="00D93416"/>
    <w:rsid w:val="00D95998"/>
    <w:rsid w:val="00DB6BED"/>
    <w:rsid w:val="00DE6F42"/>
    <w:rsid w:val="00ED4AFB"/>
    <w:rsid w:val="00EE7892"/>
    <w:rsid w:val="00F13234"/>
    <w:rsid w:val="00F562B3"/>
    <w:rsid w:val="00FB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3251"/>
  <w15:docId w15:val="{2E42F68D-6F2C-40F7-BF44-1AC3A7E5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IntenseReference">
    <w:name w:val="Intense Reference"/>
    <w:basedOn w:val="DefaultParagraphFont"/>
    <w:uiPriority w:val="32"/>
    <w:qFormat/>
    <w:rsid w:val="00714A76"/>
    <w:rPr>
      <w:b/>
      <w:bCs/>
      <w:smallCaps/>
      <w:color w:val="4F81BD" w:themeColor="accent1"/>
      <w:spacing w:val="5"/>
    </w:rPr>
  </w:style>
  <w:style w:type="character" w:styleId="CommentReference">
    <w:name w:val="annotation reference"/>
    <w:basedOn w:val="DefaultParagraphFont"/>
    <w:uiPriority w:val="99"/>
    <w:semiHidden/>
    <w:unhideWhenUsed/>
    <w:rsid w:val="002275B0"/>
    <w:rPr>
      <w:sz w:val="16"/>
      <w:szCs w:val="16"/>
    </w:rPr>
  </w:style>
  <w:style w:type="paragraph" w:styleId="CommentText">
    <w:name w:val="annotation text"/>
    <w:basedOn w:val="Normal"/>
    <w:link w:val="CommentTextChar"/>
    <w:uiPriority w:val="99"/>
    <w:semiHidden/>
    <w:unhideWhenUsed/>
    <w:rsid w:val="002275B0"/>
    <w:pPr>
      <w:spacing w:line="240" w:lineRule="auto"/>
    </w:pPr>
    <w:rPr>
      <w:sz w:val="20"/>
      <w:szCs w:val="20"/>
    </w:rPr>
  </w:style>
  <w:style w:type="character" w:customStyle="1" w:styleId="CommentTextChar">
    <w:name w:val="Comment Text Char"/>
    <w:basedOn w:val="DefaultParagraphFont"/>
    <w:link w:val="CommentText"/>
    <w:uiPriority w:val="99"/>
    <w:semiHidden/>
    <w:rsid w:val="002275B0"/>
    <w:rPr>
      <w:sz w:val="20"/>
      <w:szCs w:val="20"/>
    </w:rPr>
  </w:style>
  <w:style w:type="paragraph" w:styleId="CommentSubject">
    <w:name w:val="annotation subject"/>
    <w:basedOn w:val="CommentText"/>
    <w:next w:val="CommentText"/>
    <w:link w:val="CommentSubjectChar"/>
    <w:uiPriority w:val="99"/>
    <w:semiHidden/>
    <w:unhideWhenUsed/>
    <w:rsid w:val="002275B0"/>
    <w:rPr>
      <w:b/>
      <w:bCs/>
    </w:rPr>
  </w:style>
  <w:style w:type="character" w:customStyle="1" w:styleId="CommentSubjectChar">
    <w:name w:val="Comment Subject Char"/>
    <w:basedOn w:val="CommentTextChar"/>
    <w:link w:val="CommentSubject"/>
    <w:uiPriority w:val="99"/>
    <w:semiHidden/>
    <w:rsid w:val="002275B0"/>
    <w:rPr>
      <w:b/>
      <w:bCs/>
      <w:sz w:val="20"/>
      <w:szCs w:val="20"/>
    </w:rPr>
  </w:style>
  <w:style w:type="paragraph" w:styleId="BalloonText">
    <w:name w:val="Balloon Text"/>
    <w:basedOn w:val="Normal"/>
    <w:link w:val="BalloonTextChar"/>
    <w:uiPriority w:val="99"/>
    <w:semiHidden/>
    <w:unhideWhenUsed/>
    <w:rsid w:val="002275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B0"/>
    <w:rPr>
      <w:rFonts w:ascii="Segoe UI" w:hAnsi="Segoe UI" w:cs="Segoe UI"/>
      <w:sz w:val="18"/>
      <w:szCs w:val="18"/>
    </w:rPr>
  </w:style>
  <w:style w:type="paragraph" w:styleId="ListParagraph">
    <w:name w:val="List Paragraph"/>
    <w:basedOn w:val="Normal"/>
    <w:uiPriority w:val="34"/>
    <w:qFormat/>
    <w:rsid w:val="0085456E"/>
    <w:pPr>
      <w:ind w:left="720"/>
      <w:contextualSpacing/>
    </w:pPr>
  </w:style>
  <w:style w:type="paragraph" w:styleId="Header">
    <w:name w:val="header"/>
    <w:basedOn w:val="Normal"/>
    <w:link w:val="HeaderChar"/>
    <w:uiPriority w:val="99"/>
    <w:unhideWhenUsed/>
    <w:rsid w:val="00CF092C"/>
    <w:pPr>
      <w:tabs>
        <w:tab w:val="center" w:pos="4680"/>
        <w:tab w:val="right" w:pos="9360"/>
      </w:tabs>
      <w:spacing w:line="240" w:lineRule="auto"/>
    </w:pPr>
  </w:style>
  <w:style w:type="character" w:customStyle="1" w:styleId="HeaderChar">
    <w:name w:val="Header Char"/>
    <w:basedOn w:val="DefaultParagraphFont"/>
    <w:link w:val="Header"/>
    <w:uiPriority w:val="99"/>
    <w:rsid w:val="00CF092C"/>
  </w:style>
  <w:style w:type="paragraph" w:styleId="Footer">
    <w:name w:val="footer"/>
    <w:basedOn w:val="Normal"/>
    <w:link w:val="FooterChar"/>
    <w:uiPriority w:val="99"/>
    <w:unhideWhenUsed/>
    <w:rsid w:val="00CF092C"/>
    <w:pPr>
      <w:tabs>
        <w:tab w:val="center" w:pos="4680"/>
        <w:tab w:val="right" w:pos="9360"/>
      </w:tabs>
      <w:spacing w:line="240" w:lineRule="auto"/>
    </w:pPr>
  </w:style>
  <w:style w:type="character" w:customStyle="1" w:styleId="FooterChar">
    <w:name w:val="Footer Char"/>
    <w:basedOn w:val="DefaultParagraphFont"/>
    <w:link w:val="Footer"/>
    <w:uiPriority w:val="99"/>
    <w:rsid w:val="00CF092C"/>
  </w:style>
  <w:style w:type="table" w:styleId="TableGrid">
    <w:name w:val="Table Grid"/>
    <w:basedOn w:val="TableNormal"/>
    <w:uiPriority w:val="39"/>
    <w:rsid w:val="00CA7D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Schuler-Jones</dc:creator>
  <cp:lastModifiedBy>Heidi Schuler-Jones</cp:lastModifiedBy>
  <cp:revision>6</cp:revision>
  <dcterms:created xsi:type="dcterms:W3CDTF">2022-02-10T22:06:00Z</dcterms:created>
  <dcterms:modified xsi:type="dcterms:W3CDTF">2022-02-11T00:17:00Z</dcterms:modified>
</cp:coreProperties>
</file>